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3FBA" w14:textId="77777777" w:rsidR="007A63D5" w:rsidRDefault="007A63D5" w:rsidP="00090C14">
      <w:pPr>
        <w:pStyle w:val="ListParagraph"/>
        <w:spacing w:line="240" w:lineRule="auto"/>
        <w:ind w:left="0"/>
        <w:rPr>
          <w:sz w:val="24"/>
        </w:rPr>
      </w:pPr>
    </w:p>
    <w:p w14:paraId="63C69A3C" w14:textId="7465031D" w:rsidR="007A63D5" w:rsidRDefault="007A63D5" w:rsidP="007A63D5">
      <w:pPr>
        <w:pStyle w:val="ListParagraph"/>
        <w:spacing w:line="240" w:lineRule="auto"/>
        <w:ind w:left="450"/>
        <w:jc w:val="center"/>
        <w:rPr>
          <w:b/>
          <w:bCs/>
          <w:sz w:val="24"/>
        </w:rPr>
      </w:pPr>
      <w:r w:rsidRPr="003D168A">
        <w:rPr>
          <w:b/>
          <w:bCs/>
          <w:sz w:val="24"/>
        </w:rPr>
        <w:t>Checklist for Items to be submitted</w:t>
      </w:r>
      <w:r w:rsidR="00C363B7">
        <w:rPr>
          <w:b/>
          <w:bCs/>
          <w:sz w:val="24"/>
        </w:rPr>
        <w:t xml:space="preserve"> in addition to Application</w:t>
      </w:r>
    </w:p>
    <w:p w14:paraId="5517DD91" w14:textId="0DB857C7" w:rsidR="007A63D5" w:rsidRDefault="007A63D5" w:rsidP="007A63D5">
      <w:pPr>
        <w:pStyle w:val="ListParagraph"/>
        <w:spacing w:line="240" w:lineRule="auto"/>
        <w:ind w:left="450"/>
        <w:jc w:val="center"/>
        <w:rPr>
          <w:sz w:val="24"/>
        </w:rPr>
      </w:pPr>
      <w:r>
        <w:rPr>
          <w:sz w:val="24"/>
        </w:rPr>
        <w:t>This page does not have to be included with the application</w:t>
      </w:r>
      <w:r w:rsidRPr="003D168A">
        <w:rPr>
          <w:sz w:val="24"/>
        </w:rPr>
        <w:t xml:space="preserve"> </w:t>
      </w:r>
    </w:p>
    <w:p w14:paraId="740C3033" w14:textId="12A21C9A" w:rsidR="004F4137" w:rsidRDefault="004F4137" w:rsidP="007A63D5">
      <w:pPr>
        <w:pStyle w:val="ListParagraph"/>
        <w:spacing w:line="240" w:lineRule="auto"/>
        <w:ind w:left="450"/>
        <w:jc w:val="center"/>
        <w:rPr>
          <w:sz w:val="24"/>
        </w:rPr>
      </w:pPr>
    </w:p>
    <w:p w14:paraId="702FEE06" w14:textId="77777777" w:rsidR="004F4137" w:rsidRDefault="004F4137" w:rsidP="007A63D5">
      <w:pPr>
        <w:pStyle w:val="ListParagraph"/>
        <w:spacing w:line="240" w:lineRule="auto"/>
        <w:ind w:left="450"/>
        <w:jc w:val="center"/>
        <w:rPr>
          <w:sz w:val="24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715"/>
        <w:gridCol w:w="8365"/>
      </w:tblGrid>
      <w:tr w:rsidR="007A63D5" w14:paraId="16E6B253" w14:textId="77777777" w:rsidTr="00C6010F">
        <w:tc>
          <w:tcPr>
            <w:tcW w:w="715" w:type="dxa"/>
          </w:tcPr>
          <w:p w14:paraId="4680DA05" w14:textId="77777777" w:rsidR="007A63D5" w:rsidRDefault="007A63D5" w:rsidP="00C363B7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8365" w:type="dxa"/>
            <w:vAlign w:val="center"/>
          </w:tcPr>
          <w:p w14:paraId="5838D23F" w14:textId="77777777" w:rsidR="007A63D5" w:rsidRDefault="007A63D5" w:rsidP="00C6010F">
            <w:pPr>
              <w:pStyle w:val="List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Agenda – For activities </w:t>
            </w:r>
            <w:r>
              <w:rPr>
                <w:rFonts w:cs="Calibri"/>
                <w:sz w:val="24"/>
              </w:rPr>
              <w:t>≥</w:t>
            </w:r>
            <w:r>
              <w:rPr>
                <w:sz w:val="24"/>
              </w:rPr>
              <w:t>3 hours (include breaks &amp; lunch)</w:t>
            </w:r>
          </w:p>
        </w:tc>
      </w:tr>
      <w:tr w:rsidR="007A63D5" w14:paraId="50ED3353" w14:textId="77777777" w:rsidTr="00C6010F">
        <w:tc>
          <w:tcPr>
            <w:tcW w:w="715" w:type="dxa"/>
          </w:tcPr>
          <w:p w14:paraId="2B53E229" w14:textId="77777777" w:rsidR="007A63D5" w:rsidRDefault="007A63D5" w:rsidP="00C6010F">
            <w:pPr>
              <w:pStyle w:val="List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365" w:type="dxa"/>
            <w:vAlign w:val="center"/>
          </w:tcPr>
          <w:p w14:paraId="4C1807B9" w14:textId="77777777" w:rsidR="007A63D5" w:rsidRDefault="007A63D5" w:rsidP="00C6010F">
            <w:pPr>
              <w:pStyle w:val="List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Test/Return Demonstration  </w:t>
            </w:r>
          </w:p>
        </w:tc>
      </w:tr>
      <w:tr w:rsidR="007A63D5" w14:paraId="26D52B6C" w14:textId="77777777" w:rsidTr="00C6010F">
        <w:tc>
          <w:tcPr>
            <w:tcW w:w="715" w:type="dxa"/>
          </w:tcPr>
          <w:p w14:paraId="36D6DF4E" w14:textId="77777777" w:rsidR="007A63D5" w:rsidRDefault="007A63D5" w:rsidP="00C6010F">
            <w:pPr>
              <w:pStyle w:val="List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365" w:type="dxa"/>
            <w:vAlign w:val="center"/>
          </w:tcPr>
          <w:p w14:paraId="6C41793E" w14:textId="7B8E986B" w:rsidR="007A63D5" w:rsidRDefault="007A63D5" w:rsidP="00C6010F">
            <w:pPr>
              <w:pStyle w:val="List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Evaluation </w:t>
            </w:r>
            <w:r w:rsidR="004F4137">
              <w:rPr>
                <w:sz w:val="24"/>
              </w:rPr>
              <w:t>(must have outcomes on evaluation)</w:t>
            </w:r>
          </w:p>
        </w:tc>
      </w:tr>
      <w:tr w:rsidR="007A63D5" w14:paraId="72A5E348" w14:textId="77777777" w:rsidTr="00C6010F">
        <w:tc>
          <w:tcPr>
            <w:tcW w:w="715" w:type="dxa"/>
          </w:tcPr>
          <w:p w14:paraId="5AEF974A" w14:textId="77777777" w:rsidR="007A63D5" w:rsidRDefault="007A63D5" w:rsidP="00C6010F">
            <w:pPr>
              <w:pStyle w:val="List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365" w:type="dxa"/>
            <w:vAlign w:val="center"/>
          </w:tcPr>
          <w:p w14:paraId="348BCF8B" w14:textId="3E0C2A15" w:rsidR="007A63D5" w:rsidRDefault="00C363B7" w:rsidP="00C6010F">
            <w:pPr>
              <w:pStyle w:val="ListParagraph"/>
              <w:spacing w:line="240" w:lineRule="auto"/>
              <w:ind w:left="0"/>
              <w:rPr>
                <w:sz w:val="24"/>
              </w:rPr>
            </w:pPr>
            <w:r w:rsidRPr="00C363B7">
              <w:rPr>
                <w:b/>
                <w:sz w:val="24"/>
              </w:rPr>
              <w:t>*</w:t>
            </w:r>
            <w:r w:rsidR="00D56FA2">
              <w:rPr>
                <w:sz w:val="24"/>
              </w:rPr>
              <w:t>Speaker Form</w:t>
            </w:r>
            <w:r w:rsidR="007A63D5">
              <w:rPr>
                <w:sz w:val="24"/>
              </w:rPr>
              <w:t xml:space="preserve"> (formerly known as BIO form) – required for all </w:t>
            </w:r>
            <w:r w:rsidR="00D56FA2">
              <w:rPr>
                <w:sz w:val="24"/>
              </w:rPr>
              <w:t>speakers</w:t>
            </w:r>
            <w:r w:rsidR="007A63D5">
              <w:rPr>
                <w:sz w:val="24"/>
              </w:rPr>
              <w:t>, only need yearly</w:t>
            </w:r>
            <w:r>
              <w:rPr>
                <w:sz w:val="24"/>
              </w:rPr>
              <w:t xml:space="preserve">. </w:t>
            </w:r>
          </w:p>
        </w:tc>
      </w:tr>
      <w:tr w:rsidR="007A63D5" w14:paraId="4317F78D" w14:textId="77777777" w:rsidTr="00C6010F">
        <w:tc>
          <w:tcPr>
            <w:tcW w:w="715" w:type="dxa"/>
          </w:tcPr>
          <w:p w14:paraId="610D2E8D" w14:textId="77777777" w:rsidR="007A63D5" w:rsidRDefault="007A63D5" w:rsidP="00C6010F">
            <w:pPr>
              <w:pStyle w:val="List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365" w:type="dxa"/>
            <w:vAlign w:val="center"/>
          </w:tcPr>
          <w:p w14:paraId="51BFB88E" w14:textId="6C4FCEC8" w:rsidR="007A63D5" w:rsidRDefault="00C363B7" w:rsidP="00C6010F">
            <w:pPr>
              <w:pStyle w:val="ListParagraph"/>
              <w:spacing w:line="240" w:lineRule="auto"/>
              <w:ind w:left="0"/>
              <w:rPr>
                <w:sz w:val="24"/>
              </w:rPr>
            </w:pPr>
            <w:r w:rsidRPr="00C363B7">
              <w:rPr>
                <w:b/>
                <w:sz w:val="24"/>
              </w:rPr>
              <w:t>*</w:t>
            </w:r>
            <w:r>
              <w:rPr>
                <w:sz w:val="24"/>
              </w:rPr>
              <w:t xml:space="preserve"> </w:t>
            </w:r>
            <w:r w:rsidR="007A63D5">
              <w:rPr>
                <w:sz w:val="24"/>
              </w:rPr>
              <w:t xml:space="preserve">Financial  Relationship Form </w:t>
            </w:r>
            <w:r w:rsidR="004F4137">
              <w:rPr>
                <w:sz w:val="24"/>
              </w:rPr>
              <w:t>(only need for Nurse Planner, Content Expert  &amp; anyone with a conflict that had to be mitigated). Only need once per year</w:t>
            </w:r>
          </w:p>
        </w:tc>
      </w:tr>
      <w:tr w:rsidR="007A63D5" w14:paraId="3EE56DA9" w14:textId="77777777" w:rsidTr="00C6010F">
        <w:tc>
          <w:tcPr>
            <w:tcW w:w="715" w:type="dxa"/>
          </w:tcPr>
          <w:p w14:paraId="0980BF82" w14:textId="77777777" w:rsidR="007A63D5" w:rsidRDefault="007A63D5" w:rsidP="00C6010F">
            <w:pPr>
              <w:pStyle w:val="List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365" w:type="dxa"/>
            <w:vAlign w:val="center"/>
          </w:tcPr>
          <w:p w14:paraId="2B3F8531" w14:textId="77777777" w:rsidR="007A63D5" w:rsidRDefault="007A63D5" w:rsidP="00C6010F">
            <w:pPr>
              <w:pStyle w:val="List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Commercial Support Agreement , if applicable</w:t>
            </w:r>
          </w:p>
        </w:tc>
      </w:tr>
      <w:tr w:rsidR="007A63D5" w14:paraId="206D3009" w14:textId="77777777" w:rsidTr="00C6010F">
        <w:tc>
          <w:tcPr>
            <w:tcW w:w="715" w:type="dxa"/>
          </w:tcPr>
          <w:p w14:paraId="02ACC377" w14:textId="77777777" w:rsidR="007A63D5" w:rsidRDefault="007A63D5" w:rsidP="00C6010F">
            <w:pPr>
              <w:pStyle w:val="List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365" w:type="dxa"/>
            <w:vAlign w:val="center"/>
          </w:tcPr>
          <w:p w14:paraId="38D36241" w14:textId="77777777" w:rsidR="007A63D5" w:rsidRDefault="007A63D5" w:rsidP="00C6010F">
            <w:pPr>
              <w:pStyle w:val="List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Joint Provider Agreement, if applicable</w:t>
            </w:r>
          </w:p>
        </w:tc>
      </w:tr>
    </w:tbl>
    <w:p w14:paraId="17D87A47" w14:textId="6A91A2A8" w:rsidR="007A63D5" w:rsidRPr="00C363B7" w:rsidRDefault="00C363B7" w:rsidP="00C363B7">
      <w:pPr>
        <w:pStyle w:val="ListParagraph"/>
        <w:spacing w:line="240" w:lineRule="auto"/>
        <w:ind w:left="810"/>
        <w:rPr>
          <w:b/>
          <w:sz w:val="24"/>
        </w:rPr>
      </w:pPr>
      <w:r w:rsidRPr="00C363B7">
        <w:rPr>
          <w:b/>
          <w:sz w:val="24"/>
        </w:rPr>
        <w:t>*Only need yearly</w:t>
      </w:r>
    </w:p>
    <w:p w14:paraId="66D7A153" w14:textId="77777777" w:rsidR="007A63D5" w:rsidRDefault="007A63D5" w:rsidP="007A63D5">
      <w:pPr>
        <w:pStyle w:val="ListParagraph"/>
        <w:spacing w:line="240" w:lineRule="auto"/>
        <w:ind w:left="450"/>
        <w:jc w:val="center"/>
        <w:rPr>
          <w:sz w:val="24"/>
        </w:rPr>
      </w:pPr>
    </w:p>
    <w:p w14:paraId="7954DB72" w14:textId="77777777" w:rsidR="007A63D5" w:rsidRDefault="007A63D5" w:rsidP="007A63D5">
      <w:pPr>
        <w:pStyle w:val="ListParagraph"/>
        <w:spacing w:line="240" w:lineRule="auto"/>
        <w:ind w:left="450"/>
        <w:jc w:val="center"/>
        <w:rPr>
          <w:sz w:val="24"/>
        </w:rPr>
      </w:pPr>
      <w:r>
        <w:rPr>
          <w:sz w:val="24"/>
        </w:rPr>
        <w:t xml:space="preserve">Submit within 2 weeks of the event </w:t>
      </w:r>
    </w:p>
    <w:p w14:paraId="47738CA4" w14:textId="77777777" w:rsidR="007A63D5" w:rsidRDefault="007A63D5" w:rsidP="007A63D5">
      <w:pPr>
        <w:pStyle w:val="ListParagraph"/>
        <w:spacing w:line="240" w:lineRule="auto"/>
        <w:ind w:left="450"/>
        <w:jc w:val="center"/>
        <w:rPr>
          <w:sz w:val="24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715"/>
        <w:gridCol w:w="8365"/>
      </w:tblGrid>
      <w:tr w:rsidR="007A63D5" w14:paraId="79270BB0" w14:textId="77777777" w:rsidTr="00C6010F">
        <w:tc>
          <w:tcPr>
            <w:tcW w:w="715" w:type="dxa"/>
          </w:tcPr>
          <w:p w14:paraId="36E73C88" w14:textId="77777777" w:rsidR="007A63D5" w:rsidRDefault="007A63D5" w:rsidP="00C6010F">
            <w:pPr>
              <w:pStyle w:val="List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365" w:type="dxa"/>
            <w:vAlign w:val="center"/>
          </w:tcPr>
          <w:p w14:paraId="6009F5C9" w14:textId="77777777" w:rsidR="007A63D5" w:rsidRDefault="007A63D5" w:rsidP="00C6010F">
            <w:pPr>
              <w:pStyle w:val="List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Summative Evaluation</w:t>
            </w:r>
          </w:p>
        </w:tc>
      </w:tr>
      <w:tr w:rsidR="007A63D5" w14:paraId="786A8D27" w14:textId="77777777" w:rsidTr="00C6010F">
        <w:tc>
          <w:tcPr>
            <w:tcW w:w="715" w:type="dxa"/>
          </w:tcPr>
          <w:p w14:paraId="69F85FD0" w14:textId="77777777" w:rsidR="007A63D5" w:rsidRDefault="007A63D5" w:rsidP="00C6010F">
            <w:pPr>
              <w:pStyle w:val="List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365" w:type="dxa"/>
          </w:tcPr>
          <w:p w14:paraId="78809895" w14:textId="77777777" w:rsidR="007A63D5" w:rsidRDefault="007A63D5" w:rsidP="00C6010F">
            <w:pPr>
              <w:pStyle w:val="List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Sign-in Sheet</w:t>
            </w:r>
          </w:p>
        </w:tc>
      </w:tr>
    </w:tbl>
    <w:p w14:paraId="2AB60948" w14:textId="77777777" w:rsidR="007A63D5" w:rsidRPr="003D168A" w:rsidRDefault="007A63D5" w:rsidP="007A63D5">
      <w:pPr>
        <w:pStyle w:val="ListParagraph"/>
        <w:spacing w:line="240" w:lineRule="auto"/>
        <w:ind w:left="450"/>
        <w:jc w:val="center"/>
        <w:rPr>
          <w:sz w:val="24"/>
        </w:rPr>
      </w:pPr>
    </w:p>
    <w:p w14:paraId="7C777187" w14:textId="23D381DF" w:rsidR="005A5870" w:rsidRDefault="00393C1C" w:rsidP="00394A92">
      <w:pPr>
        <w:spacing w:after="0"/>
        <w:rPr>
          <w:b/>
          <w:bCs/>
        </w:rPr>
      </w:pPr>
      <w:r w:rsidRPr="00090C14">
        <w:rPr>
          <w:b/>
          <w:bCs/>
        </w:rPr>
        <w:t xml:space="preserve">NARS </w:t>
      </w:r>
      <w:r w:rsidR="00090C14">
        <w:rPr>
          <w:b/>
          <w:bCs/>
        </w:rPr>
        <w:t xml:space="preserve">(Nursing Activity Reporting Systems) </w:t>
      </w:r>
      <w:r w:rsidRPr="00090C14">
        <w:rPr>
          <w:b/>
          <w:bCs/>
        </w:rPr>
        <w:t>definitions</w:t>
      </w:r>
      <w:r w:rsidR="00090C14">
        <w:rPr>
          <w:b/>
          <w:bCs/>
        </w:rPr>
        <w:t>:</w:t>
      </w:r>
    </w:p>
    <w:p w14:paraId="0D751571" w14:textId="77777777" w:rsidR="00090C14" w:rsidRPr="0091324F" w:rsidRDefault="00090C14" w:rsidP="00394A92">
      <w:pPr>
        <w:tabs>
          <w:tab w:val="left" w:pos="430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91324F">
        <w:rPr>
          <w:rFonts w:asciiTheme="minorHAnsi" w:hAnsiTheme="minorHAnsi" w:cstheme="minorHAnsi"/>
          <w:sz w:val="20"/>
          <w:szCs w:val="20"/>
        </w:rPr>
        <w:t xml:space="preserve">Course (C) - </w:t>
      </w:r>
      <w:r w:rsidRPr="0091324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 course is a live educational activity where the learner participates in person.</w:t>
      </w:r>
      <w:r w:rsidRPr="009132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4FAD31" w14:textId="603FDFAF" w:rsidR="00090C14" w:rsidRPr="0091324F" w:rsidRDefault="00090C14" w:rsidP="00394A92">
      <w:pPr>
        <w:tabs>
          <w:tab w:val="left" w:pos="430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9132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</w:t>
      </w:r>
    </w:p>
    <w:p w14:paraId="2EDB33A6" w14:textId="45E5CBC3" w:rsidR="00090C14" w:rsidRPr="0091324F" w:rsidRDefault="00090C14" w:rsidP="00394A92">
      <w:pPr>
        <w:tabs>
          <w:tab w:val="left" w:pos="430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91324F">
        <w:rPr>
          <w:rFonts w:asciiTheme="minorHAnsi" w:hAnsiTheme="minorHAnsi" w:cstheme="minorHAnsi"/>
          <w:sz w:val="20"/>
          <w:szCs w:val="20"/>
        </w:rPr>
        <w:t xml:space="preserve">Enduring Material (EM) - </w:t>
      </w:r>
      <w:r w:rsidR="0091324F">
        <w:rPr>
          <w:rFonts w:asciiTheme="minorHAnsi" w:hAnsiTheme="minorHAnsi" w:cstheme="minorHAnsi"/>
          <w:sz w:val="20"/>
          <w:szCs w:val="20"/>
        </w:rPr>
        <w:t xml:space="preserve"> An enduring material is an activity that is printed or recorded and does not have a specific time or location designated for participation. Rather, the participant determines where and when to complete the activity.</w:t>
      </w:r>
    </w:p>
    <w:p w14:paraId="5C7C8844" w14:textId="557CC695" w:rsidR="00090C14" w:rsidRPr="0091324F" w:rsidRDefault="00090C14" w:rsidP="00394A92">
      <w:pPr>
        <w:tabs>
          <w:tab w:val="left" w:pos="430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91324F">
        <w:rPr>
          <w:rFonts w:asciiTheme="minorHAnsi" w:hAnsiTheme="minorHAnsi" w:cstheme="minorHAnsi"/>
          <w:sz w:val="20"/>
          <w:szCs w:val="20"/>
        </w:rPr>
        <w:tab/>
      </w:r>
      <w:r w:rsidRPr="0091324F">
        <w:rPr>
          <w:rFonts w:asciiTheme="minorHAnsi" w:hAnsiTheme="minorHAnsi" w:cstheme="minorHAnsi"/>
          <w:sz w:val="20"/>
          <w:szCs w:val="20"/>
        </w:rPr>
        <w:tab/>
      </w:r>
    </w:p>
    <w:p w14:paraId="41EA4239" w14:textId="3FD031E0" w:rsidR="00090C14" w:rsidRPr="0091324F" w:rsidRDefault="00090C14" w:rsidP="00394A92">
      <w:pPr>
        <w:tabs>
          <w:tab w:val="left" w:pos="4300"/>
        </w:tabs>
        <w:spacing w:after="0"/>
        <w:rPr>
          <w:rStyle w:val="Emphasis"/>
          <w:rFonts w:asciiTheme="minorHAnsi" w:hAnsiTheme="minorHAnsi" w:cstheme="minorHAnsi"/>
          <w:color w:val="000000"/>
          <w:sz w:val="20"/>
          <w:szCs w:val="20"/>
          <w:shd w:val="clear" w:color="auto" w:fill="F3F3F3"/>
        </w:rPr>
      </w:pPr>
      <w:r w:rsidRPr="0091324F">
        <w:rPr>
          <w:rFonts w:asciiTheme="minorHAnsi" w:hAnsiTheme="minorHAnsi" w:cstheme="minorHAnsi"/>
          <w:sz w:val="20"/>
          <w:szCs w:val="20"/>
        </w:rPr>
        <w:t xml:space="preserve">Regularly Scheduled Series (RSS) </w:t>
      </w:r>
      <w:r w:rsidR="00394A92">
        <w:rPr>
          <w:rFonts w:asciiTheme="minorHAnsi" w:hAnsiTheme="minorHAnsi" w:cstheme="minorHAnsi"/>
          <w:sz w:val="20"/>
          <w:szCs w:val="20"/>
        </w:rPr>
        <w:t>–</w:t>
      </w:r>
      <w:r w:rsidRPr="0091324F">
        <w:rPr>
          <w:rFonts w:asciiTheme="minorHAnsi" w:hAnsiTheme="minorHAnsi" w:cstheme="minorHAnsi"/>
          <w:sz w:val="20"/>
          <w:szCs w:val="20"/>
        </w:rPr>
        <w:t xml:space="preserve"> </w:t>
      </w:r>
      <w:r w:rsidR="00394A92">
        <w:rPr>
          <w:rFonts w:asciiTheme="minorHAnsi" w:hAnsiTheme="minorHAnsi" w:cstheme="minorHAnsi"/>
          <w:sz w:val="20"/>
          <w:szCs w:val="20"/>
        </w:rPr>
        <w:t xml:space="preserve">A regularly scheduled series (RSS) as a course that is planned as a series with multiple, ongoing sessions, e.g., offered weekly, monthly, or quarterly: </w:t>
      </w:r>
      <w:r w:rsidR="00394A92" w:rsidRPr="00394A92">
        <w:rPr>
          <w:rFonts w:asciiTheme="minorHAnsi" w:hAnsiTheme="minorHAnsi" w:cstheme="minorHAnsi"/>
          <w:b/>
          <w:bCs/>
          <w:sz w:val="20"/>
          <w:szCs w:val="20"/>
        </w:rPr>
        <w:t>and is primarily planned by and presented to the accredited (approved) provider’s professional staff.</w:t>
      </w:r>
      <w:r w:rsidR="00394A92">
        <w:rPr>
          <w:rFonts w:asciiTheme="minorHAnsi" w:hAnsiTheme="minorHAnsi" w:cstheme="minorHAnsi"/>
          <w:sz w:val="20"/>
          <w:szCs w:val="20"/>
        </w:rPr>
        <w:t xml:space="preserve"> Examples include grand rounds, tumor boards, and morbidity and mortality conferences.</w:t>
      </w:r>
    </w:p>
    <w:p w14:paraId="20726957" w14:textId="77777777" w:rsidR="00090C14" w:rsidRPr="0091324F" w:rsidRDefault="00090C14" w:rsidP="00394A92">
      <w:pPr>
        <w:tabs>
          <w:tab w:val="left" w:pos="4300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30846E1F" w14:textId="336A0D91" w:rsidR="00090C14" w:rsidRPr="0091324F" w:rsidRDefault="00090C14" w:rsidP="00394A92">
      <w:pPr>
        <w:tabs>
          <w:tab w:val="left" w:pos="430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91324F">
        <w:rPr>
          <w:rFonts w:asciiTheme="minorHAnsi" w:hAnsiTheme="minorHAnsi" w:cstheme="minorHAnsi"/>
          <w:sz w:val="20"/>
          <w:szCs w:val="20"/>
        </w:rPr>
        <w:t xml:space="preserve">Internet Enduring Material (IEM) - </w:t>
      </w:r>
      <w:r w:rsidRPr="0091324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An Internet enduring material activity is an "on demand activity," meaning that there is no specific time designated for participation. Rather, the participant determines when to complete the activity. Examples: online interactive educational module, recorded presentation, podcast.</w:t>
      </w:r>
    </w:p>
    <w:p w14:paraId="76F2A3A4" w14:textId="77777777" w:rsidR="00090C14" w:rsidRPr="0091324F" w:rsidRDefault="00090C14" w:rsidP="00394A92">
      <w:pPr>
        <w:tabs>
          <w:tab w:val="left" w:pos="4300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45B813D6" w14:textId="77777777" w:rsidR="00090C14" w:rsidRPr="0091324F" w:rsidRDefault="00090C14" w:rsidP="00394A92">
      <w:pPr>
        <w:spacing w:after="0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91324F">
        <w:rPr>
          <w:rFonts w:asciiTheme="minorHAnsi" w:hAnsiTheme="minorHAnsi" w:cstheme="minorHAnsi"/>
          <w:sz w:val="20"/>
          <w:szCs w:val="20"/>
        </w:rPr>
        <w:t xml:space="preserve">Internet Live Course (IL) - </w:t>
      </w:r>
      <w:r w:rsidRPr="0091324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An Internet live activity is an online course available via the Internet at a certain time on a certain date and is only available in real-time, just as if it were a course held in an auditorium.</w:t>
      </w:r>
    </w:p>
    <w:p w14:paraId="4947B6D9" w14:textId="4FDBFE50" w:rsidR="00090C14" w:rsidRPr="0091324F" w:rsidRDefault="00090C14" w:rsidP="00394A92">
      <w:pPr>
        <w:spacing w:after="0"/>
        <w:rPr>
          <w:rFonts w:asciiTheme="minorHAnsi" w:eastAsia="Meiryo" w:hAnsiTheme="minorHAnsi" w:cstheme="minorHAnsi"/>
          <w:bCs/>
          <w:sz w:val="20"/>
          <w:szCs w:val="20"/>
        </w:rPr>
      </w:pPr>
      <w:r w:rsidRPr="0091324F">
        <w:rPr>
          <w:rFonts w:asciiTheme="minorHAnsi" w:eastAsia="Meiryo" w:hAnsiTheme="minorHAnsi" w:cstheme="minorHAnsi"/>
          <w:bCs/>
          <w:sz w:val="20"/>
          <w:szCs w:val="20"/>
        </w:rPr>
        <w:tab/>
      </w:r>
    </w:p>
    <w:p w14:paraId="372A2F56" w14:textId="31ED2784" w:rsidR="00090C14" w:rsidRPr="0091324F" w:rsidRDefault="00090C14" w:rsidP="00394A92">
      <w:pPr>
        <w:spacing w:after="0"/>
        <w:rPr>
          <w:rFonts w:asciiTheme="minorHAnsi" w:eastAsia="Meiryo" w:hAnsiTheme="minorHAnsi" w:cstheme="minorHAnsi"/>
          <w:bCs/>
          <w:sz w:val="20"/>
          <w:szCs w:val="20"/>
        </w:rPr>
      </w:pPr>
      <w:r w:rsidRPr="0091324F">
        <w:rPr>
          <w:rFonts w:asciiTheme="minorHAnsi" w:hAnsiTheme="minorHAnsi" w:cstheme="minorHAnsi"/>
          <w:sz w:val="20"/>
          <w:szCs w:val="20"/>
        </w:rPr>
        <w:lastRenderedPageBreak/>
        <w:t xml:space="preserve"> Journal-based CNE (JN)</w:t>
      </w:r>
      <w:r w:rsidR="0091324F" w:rsidRPr="0091324F">
        <w:rPr>
          <w:rFonts w:asciiTheme="minorHAnsi" w:hAnsiTheme="minorHAnsi" w:cstheme="minorHAnsi"/>
          <w:sz w:val="20"/>
          <w:szCs w:val="20"/>
        </w:rPr>
        <w:t xml:space="preserve"> - </w:t>
      </w:r>
      <w:r w:rsidR="0091324F">
        <w:rPr>
          <w:rFonts w:asciiTheme="minorHAnsi" w:hAnsiTheme="minorHAnsi" w:cstheme="minorHAnsi"/>
          <w:sz w:val="20"/>
          <w:szCs w:val="20"/>
        </w:rPr>
        <w:t xml:space="preserve"> A journal-based CNE activity includes the reading of an article (or adapted formats for special needs), an accredited (approved) provider learner engagement strategy (that may include reflection, discussion, or debate</w:t>
      </w:r>
      <w:r w:rsidR="00394A92">
        <w:rPr>
          <w:rFonts w:asciiTheme="minorHAnsi" w:hAnsiTheme="minorHAnsi" w:cstheme="minorHAnsi"/>
          <w:sz w:val="20"/>
          <w:szCs w:val="20"/>
        </w:rPr>
        <w:t xml:space="preserve"> about material contained in the article(s), and/or a requirement for the completion by the learner of a pre-determined set of questions or tasks relating to the content of the material as part of the learning process.</w:t>
      </w:r>
    </w:p>
    <w:sectPr w:rsidR="00090C14" w:rsidRPr="0091324F" w:rsidSect="00962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260" w:bottom="5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A6ADC" w14:textId="77777777" w:rsidR="002A652C" w:rsidRDefault="00AC258C">
      <w:pPr>
        <w:spacing w:after="0" w:line="240" w:lineRule="auto"/>
      </w:pPr>
      <w:r>
        <w:separator/>
      </w:r>
    </w:p>
  </w:endnote>
  <w:endnote w:type="continuationSeparator" w:id="0">
    <w:p w14:paraId="35FC3709" w14:textId="77777777" w:rsidR="002A652C" w:rsidRDefault="00AC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9B21" w14:textId="77777777" w:rsidR="00E64E72" w:rsidRDefault="00E64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35A9" w14:textId="7571BD34" w:rsidR="004F4137" w:rsidRDefault="004F4137">
    <w:pPr>
      <w:pStyle w:val="Footer"/>
    </w:pPr>
    <w:r>
      <w:t xml:space="preserve">Revised </w:t>
    </w:r>
    <w:r w:rsidR="00E64E72">
      <w:t>3/23</w:t>
    </w:r>
  </w:p>
  <w:p w14:paraId="14CA8725" w14:textId="77777777" w:rsidR="00924DA8" w:rsidRDefault="00E64E7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420E" w14:textId="77777777" w:rsidR="00E64E72" w:rsidRDefault="00E64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C1F8D" w14:textId="77777777" w:rsidR="002A652C" w:rsidRDefault="00AC258C">
      <w:pPr>
        <w:spacing w:after="0" w:line="240" w:lineRule="auto"/>
      </w:pPr>
      <w:r>
        <w:separator/>
      </w:r>
    </w:p>
  </w:footnote>
  <w:footnote w:type="continuationSeparator" w:id="0">
    <w:p w14:paraId="0B7F226F" w14:textId="77777777" w:rsidR="002A652C" w:rsidRDefault="00AC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F52F" w14:textId="77777777" w:rsidR="00E64E72" w:rsidRDefault="00E64E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33DD" w14:textId="77777777" w:rsidR="00E64E72" w:rsidRDefault="00E64E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5B83" w14:textId="77777777" w:rsidR="00E64E72" w:rsidRDefault="00E64E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3A41"/>
    <w:multiLevelType w:val="hybridMultilevel"/>
    <w:tmpl w:val="49BE6CEA"/>
    <w:lvl w:ilvl="0" w:tplc="23A8493E">
      <w:numFmt w:val="bullet"/>
      <w:lvlText w:val=""/>
      <w:lvlJc w:val="left"/>
      <w:pPr>
        <w:ind w:left="81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590580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D5"/>
    <w:rsid w:val="00090C14"/>
    <w:rsid w:val="002A652C"/>
    <w:rsid w:val="00393C1C"/>
    <w:rsid w:val="00394A92"/>
    <w:rsid w:val="004F4137"/>
    <w:rsid w:val="005A5870"/>
    <w:rsid w:val="007A63D5"/>
    <w:rsid w:val="0091324F"/>
    <w:rsid w:val="00AC258C"/>
    <w:rsid w:val="00C363B7"/>
    <w:rsid w:val="00D56FA2"/>
    <w:rsid w:val="00E64E72"/>
    <w:rsid w:val="00E8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5D231"/>
  <w15:chartTrackingRefBased/>
  <w15:docId w15:val="{B6C16279-B72D-4CE4-92FA-99298D43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3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3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6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3D5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7A63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F4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3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90C14"/>
    <w:rPr>
      <w:b/>
      <w:bCs/>
    </w:rPr>
  </w:style>
  <w:style w:type="character" w:styleId="Emphasis">
    <w:name w:val="Emphasis"/>
    <w:basedOn w:val="DefaultParagraphFont"/>
    <w:uiPriority w:val="20"/>
    <w:qFormat/>
    <w:rsid w:val="00090C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Bentley</dc:creator>
  <cp:keywords/>
  <dc:description/>
  <cp:lastModifiedBy>Ann Bentley</cp:lastModifiedBy>
  <cp:revision>2</cp:revision>
  <dcterms:created xsi:type="dcterms:W3CDTF">2023-03-01T19:16:00Z</dcterms:created>
  <dcterms:modified xsi:type="dcterms:W3CDTF">2023-03-01T19:16:00Z</dcterms:modified>
</cp:coreProperties>
</file>